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D" w:rsidRDefault="00760EED" w:rsidP="002F7ABD">
      <w:r w:rsidRPr="00760EE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-310515</wp:posOffset>
            </wp:positionV>
            <wp:extent cx="6096000" cy="3438525"/>
            <wp:effectExtent l="19050" t="0" r="0" b="0"/>
            <wp:wrapThrough wrapText="bothSides">
              <wp:wrapPolygon edited="0">
                <wp:start x="-68" y="0"/>
                <wp:lineTo x="-68" y="21540"/>
                <wp:lineTo x="21600" y="21540"/>
                <wp:lineTo x="21600" y="0"/>
                <wp:lineTo x="-68" y="0"/>
              </wp:wrapPolygon>
            </wp:wrapThrough>
            <wp:docPr id="2" name="Рисунок 1" descr="E:\На сайт\2015_05_06\IMG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015_05_06\IMG_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478" t="3498" r="5851" b="6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ABD" w:rsidRDefault="002F7ABD" w:rsidP="002F7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F7ABD" w:rsidRDefault="002F7ABD" w:rsidP="002F7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E3">
        <w:rPr>
          <w:rFonts w:ascii="Times New Roman" w:hAnsi="Times New Roman" w:cs="Times New Roman"/>
          <w:b/>
          <w:sz w:val="28"/>
          <w:szCs w:val="28"/>
        </w:rPr>
        <w:t>о формах, периодичности, порядке осуществления текущего контроля успеваемости и промежуточной аттестации учащихся</w:t>
      </w:r>
    </w:p>
    <w:p w:rsidR="002F7ABD" w:rsidRDefault="002F7ABD" w:rsidP="002F7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BD" w:rsidRDefault="002F7ABD" w:rsidP="002F7A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F7ABD" w:rsidRDefault="002F7ABD" w:rsidP="002F7ABD">
      <w:pPr>
        <w:pStyle w:val="a3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D62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ст. 28 п. 10 ч. 3, ст. 58, ст. 17 ч. 3, ст. 34 ч. 3 Закона «Об образовании в Российской Федерации» №273-ФЗ от 29.12.2012, Уставом ОУ.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определяет формы, периодичность и порядок текущего контроля успеваемости и промежуточной аттестации учащихся.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Положение рассматривается на педагогическом совете, который устанавливает порядок внесения в него изменений и дополнений, предоставляется на утверждение директору школы.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Целью текущего контроля и промежуточной аттестации является: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фактического уровня знаний, умений и навыков учащихся по предметам учебного плана;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ключевых образовательных компетенций учащихся;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соответствия уровня знаний, умений и навыков учащихся требованиям федеральных государственных образовательных стандартов общего образования;</w:t>
      </w:r>
    </w:p>
    <w:p w:rsidR="002F7ABD" w:rsidRDefault="002F7ABD" w:rsidP="002F7AB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достижения учащимися планируемых результатов освоения ФГОС второго поколения, основной образовательной программы начального общего образования устанавливается </w:t>
      </w:r>
      <w:r w:rsidRPr="004057E7">
        <w:rPr>
          <w:rFonts w:ascii="Times New Roman" w:hAnsi="Times New Roman" w:cs="Times New Roman"/>
          <w:i/>
          <w:sz w:val="28"/>
          <w:szCs w:val="28"/>
        </w:rPr>
        <w:t xml:space="preserve">Положением о системе оценок, формах и порядке текущей и промежуточной аттестации учащихся на уровне </w:t>
      </w:r>
      <w:r w:rsidRPr="004057E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начального общего образования МБОУ ООШ с. </w:t>
      </w:r>
      <w:proofErr w:type="spellStart"/>
      <w:r w:rsidRPr="004057E7">
        <w:rPr>
          <w:rFonts w:ascii="Times New Roman" w:hAnsi="Times New Roman" w:cs="Times New Roman"/>
          <w:i/>
          <w:sz w:val="28"/>
          <w:szCs w:val="28"/>
        </w:rPr>
        <w:t>Урус</w:t>
      </w:r>
      <w:r>
        <w:rPr>
          <w:rFonts w:ascii="Times New Roman" w:hAnsi="Times New Roman" w:cs="Times New Roman"/>
          <w:i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(в соответствии с ФГОС НОО);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уровня освоения образовательных программ, учебных планов и рабочих программ учебных курсов, предметов, дисциплин (модулей).</w:t>
      </w:r>
    </w:p>
    <w:p w:rsidR="002F7ABD" w:rsidRDefault="002F7ABD" w:rsidP="002F7A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4057E7">
        <w:rPr>
          <w:rFonts w:ascii="Times New Roman" w:hAnsi="Times New Roman" w:cs="Times New Roman"/>
          <w:b/>
          <w:sz w:val="28"/>
          <w:szCs w:val="28"/>
        </w:rPr>
        <w:t>Формы, периодичность и порядок текущего контроля успеваемости учащихся</w:t>
      </w:r>
    </w:p>
    <w:p w:rsidR="002F7ABD" w:rsidRDefault="002F7ABD" w:rsidP="002F7A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2.1.  Текущий  контроль  успеваемости учащихся –  это систематическая проверка учебных достижений учащихся, проводимая педагогом на текущих занятиях в соответствии с учебной программой предмета (дисциплины).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2.2.  Главный принцип организации текущего контроля успеваемости, обусловленный системным подходом к проблеме оценки знаний - это комплексность применения различных видов контроля, распределенных по времени и по изучаемым дисциплинам.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2.3. Данные текущего контроля должны использоваться всеми участниками образовательного процесса для обеспечения организованной учебной работы учащихся, своевременного предупреждения неуспеваемости, организации занятий творческого характера (с наиболее подготовленными учащимися), а также для совершенствования методики преподавания учебных дисциплин.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2.4. Порядок, формы, периодичность, количество обязательных мероприятий при проведении текущего контроля успеваемости учащихся по каждому конкретному предмету определяются учителем и отражаются в рабочих программах учителя, в соответствии со спецификой учебной дисциплины.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2.5. Формы текущего контроля успеваемости - оценка устного ответа учащегося, его самостоятельной, практической или лабораторной работы, тестирования, тематического з</w:t>
      </w:r>
      <w:r>
        <w:rPr>
          <w:rFonts w:ascii="Times New Roman" w:hAnsi="Times New Roman" w:cs="Times New Roman"/>
          <w:sz w:val="28"/>
          <w:szCs w:val="28"/>
        </w:rPr>
        <w:t xml:space="preserve">ачета, контрольной работы </w:t>
      </w:r>
      <w:r w:rsidRPr="00C958BB">
        <w:rPr>
          <w:rFonts w:ascii="Times New Roman" w:hAnsi="Times New Roman" w:cs="Times New Roman"/>
          <w:sz w:val="28"/>
          <w:szCs w:val="28"/>
        </w:rPr>
        <w:t>в рамках урока.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2.6. К обязательным формам текущего контроля относятся к</w:t>
      </w:r>
      <w:r>
        <w:rPr>
          <w:rFonts w:ascii="Times New Roman" w:hAnsi="Times New Roman" w:cs="Times New Roman"/>
          <w:sz w:val="28"/>
          <w:szCs w:val="28"/>
        </w:rPr>
        <w:t>онтрольные работы, зачеты</w:t>
      </w:r>
      <w:r w:rsidRPr="00C958BB">
        <w:rPr>
          <w:rFonts w:ascii="Times New Roman" w:hAnsi="Times New Roman" w:cs="Times New Roman"/>
          <w:sz w:val="28"/>
          <w:szCs w:val="28"/>
        </w:rPr>
        <w:t>, проводимые по окончании изучения раздела (темы) учебного предмета, предусмотренные учебной программой. Также обязательным является оценивание результатов учебной деятельности учащихся по итогам учебной четве</w:t>
      </w:r>
      <w:r>
        <w:rPr>
          <w:rFonts w:ascii="Times New Roman" w:hAnsi="Times New Roman" w:cs="Times New Roman"/>
          <w:sz w:val="28"/>
          <w:szCs w:val="28"/>
        </w:rPr>
        <w:t>рти</w:t>
      </w:r>
      <w:r w:rsidRPr="00C958BB">
        <w:rPr>
          <w:rFonts w:ascii="Times New Roman" w:hAnsi="Times New Roman" w:cs="Times New Roman"/>
          <w:sz w:val="28"/>
          <w:szCs w:val="28"/>
        </w:rPr>
        <w:t>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2.7. График проведения обязательных форм текущего контроля успеваемости учащихся (письменных контрольных работ) представляется учителем администрации школы  на каждую четверть (полугодие), утверждается директором школы и является открытым для всех педагогических работников, учащихся, их родителей (законных представителей).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2.8. Текущий контроль успеваемости может также осуществляться по инициативе администрации шк</w:t>
      </w:r>
      <w:r>
        <w:rPr>
          <w:rFonts w:ascii="Times New Roman" w:hAnsi="Times New Roman" w:cs="Times New Roman"/>
          <w:sz w:val="28"/>
          <w:szCs w:val="28"/>
        </w:rPr>
        <w:t>олы, в соответствии с планом ВСОКО</w:t>
      </w:r>
      <w:r w:rsidRPr="00C958BB">
        <w:rPr>
          <w:rFonts w:ascii="Times New Roman" w:hAnsi="Times New Roman" w:cs="Times New Roman"/>
          <w:sz w:val="28"/>
          <w:szCs w:val="28"/>
        </w:rPr>
        <w:t xml:space="preserve">. Административные контрольные работы </w:t>
      </w:r>
      <w:proofErr w:type="gramStart"/>
      <w:r w:rsidRPr="00C958BB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Pr="00C958BB">
        <w:rPr>
          <w:rFonts w:ascii="Times New Roman" w:hAnsi="Times New Roman" w:cs="Times New Roman"/>
          <w:sz w:val="28"/>
          <w:szCs w:val="28"/>
        </w:rPr>
        <w:t xml:space="preserve"> а различных формах, в т.ч. в форме ГИА  в 9 классе.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2.9. Контроль ЗУН учащихся 2 - 9 классов в любой форме подлежит обязательному оцениванию, выраженному отметкой в баллах по пятибалльной шкале, в соответствии с рекомендациями об оценивании знаний по каждому учебному предмету, отражающему требования образовательного стандарта.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proofErr w:type="gramStart"/>
      <w:r w:rsidRPr="00C958BB">
        <w:rPr>
          <w:rFonts w:ascii="Times New Roman" w:hAnsi="Times New Roman" w:cs="Times New Roman"/>
          <w:sz w:val="28"/>
          <w:szCs w:val="28"/>
        </w:rPr>
        <w:t xml:space="preserve">Предметом оценки образовательной деятельности обучающихся по ФГОС в начальной школе являются ожидаемые результаты, которые обусловлены целями основной образовательной программы начального общего образования и составляют три группы взаимосвязанных результатов: предметные,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>,  личностные результаты.</w:t>
      </w:r>
      <w:proofErr w:type="gramEnd"/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2.11. Оценивание учащихся 1 класса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>, качественное. В систему оценивания успешности освоения учебной программы в 1 классе должен быть заложен механизм поощряющий, развивающий, способствующий мотивации учебной деятельности. В последующих классах вводится отметка в баллах: «5»- отлично, «4»- хорошо, «3»- удовлетворительно, «2»- неудовлетворительно.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2.12. Учитель, оценивая все виды работы, достигнутые учащимися навыки и умения, выставляет отметку в классный журнал и дневник учащегося.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2.13. Отметка за выполненную письменную самостоятельную, контрольную, зачетную и т.п. работу заносится в классный журнал к следующему уроку, за исключением: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 - отметок за творческие работы по русскому языку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   и   литературе в 5-9 классах, которые выставляются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   не позднее, чем через неделю после их проведения.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    Отметка за сочинение и диктант с грамматическим заданием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    выставляется в классный журнал через дробь.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2.14. Учащиеся, временно обучающиеся в санаторных школах, реабилитационных общеобразовательных организациях, аттестуются на основе итогов их аттестации в этих учебных заведениях.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2.15. Если проводятся занятия на дому, учителя-предметники, ведущие занятия, выставляют итоговые отметки не только в специальном журнале для надомного обучения, но и в сводную ведомость классного журнала, в списочный состав которого включен учащийся, занимающийся на дому.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От</w:t>
      </w:r>
      <w:r w:rsidRPr="00C958BB">
        <w:rPr>
          <w:rFonts w:ascii="Times New Roman" w:hAnsi="Times New Roman" w:cs="Times New Roman"/>
          <w:sz w:val="28"/>
          <w:szCs w:val="28"/>
        </w:rPr>
        <w:t xml:space="preserve">метки учащихся за четверть должны быть обоснованы: не менее трех отметок при часовой недельной учебной нагрузке по предмету и более 7 при учебной нагрузке в </w:t>
      </w:r>
      <w:proofErr w:type="gramStart"/>
      <w:r w:rsidRPr="00C958BB">
        <w:rPr>
          <w:rFonts w:ascii="Times New Roman" w:hAnsi="Times New Roman" w:cs="Times New Roman"/>
          <w:sz w:val="28"/>
          <w:szCs w:val="28"/>
        </w:rPr>
        <w:t>два и более часов</w:t>
      </w:r>
      <w:proofErr w:type="gramEnd"/>
      <w:r w:rsidRPr="00C958BB">
        <w:rPr>
          <w:rFonts w:ascii="Times New Roman" w:hAnsi="Times New Roman" w:cs="Times New Roman"/>
          <w:sz w:val="28"/>
          <w:szCs w:val="28"/>
        </w:rPr>
        <w:t xml:space="preserve"> в неделю с обязательным учетом качества знаний учащихся по письменным работам.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2.17. При выставлении четвертных и годовых отметок не допускается запись «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>/а». В случае отсутствия текущих оценок по предмету из-за болезни учащегося или по иной причине, рекомендуется продлить сроки обучения данного учащегося с последующей сдачей текущего материала.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2.18.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>.» в журнале не допускается.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2.19. </w:t>
      </w:r>
      <w:r>
        <w:rPr>
          <w:rFonts w:ascii="Times New Roman" w:hAnsi="Times New Roman" w:cs="Times New Roman"/>
          <w:sz w:val="28"/>
          <w:szCs w:val="28"/>
        </w:rPr>
        <w:t>Четвертные</w:t>
      </w:r>
      <w:r w:rsidRPr="00C958BB">
        <w:rPr>
          <w:rFonts w:ascii="Times New Roman" w:hAnsi="Times New Roman" w:cs="Times New Roman"/>
          <w:sz w:val="28"/>
          <w:szCs w:val="28"/>
        </w:rPr>
        <w:t xml:space="preserve"> отметки выставляются за 3 дня до начала каникул или начала аттестационного периода.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Безотметочная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оценивания применяется: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предметам, на изучение которых в учебном плане отводится менее 0,5 часа в неделю («зачтено» - «не зачтено»);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курсу внеурочной деятельности за участие учащихся в состязаниях, турнирах («зачтено» - «не зачтено»).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1. Классные руководители доводят</w:t>
      </w:r>
      <w:r w:rsidRPr="00C958BB">
        <w:rPr>
          <w:rFonts w:ascii="Times New Roman" w:hAnsi="Times New Roman" w:cs="Times New Roman"/>
          <w:sz w:val="28"/>
          <w:szCs w:val="28"/>
        </w:rPr>
        <w:t xml:space="preserve"> до сведения учащихся и их родителей итоги аттестаций,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Pr="00C958BB">
        <w:rPr>
          <w:rFonts w:ascii="Times New Roman" w:hAnsi="Times New Roman" w:cs="Times New Roman"/>
          <w:sz w:val="28"/>
          <w:szCs w:val="28"/>
        </w:rPr>
        <w:t>. В течение учебной четверти либо полугодия заместитель директора проводит анализ и подводит промежуточные итоги текущего контроля успеваемости учащихся с целью обсуждения их на методических объединениях педагогов, педагогическом совете учреждения и принятия необходимых управленческих решений, а также составления прогноза результатов успеваемости на конец учебной четверти.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BB">
        <w:rPr>
          <w:rFonts w:ascii="Times New Roman" w:hAnsi="Times New Roman" w:cs="Times New Roman"/>
          <w:b/>
          <w:sz w:val="28"/>
          <w:szCs w:val="28"/>
        </w:rPr>
        <w:t>3.  Формы и порядок промежуточной аттестации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3.1.  Промежуточная  аттестация  учащихся  проводится  с  целью  определения уровня освоения основной общеобразовательной программы, в том числе отдельной  части  или  всего  объема  учебного  предмета,  курса  (модуля) образовательной программы.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3.2.  Промежуточная аттестация учащихся - оценка уровня освоения учащимися на  конец  учебного  года  предметов,  курсов  (модулей),  включенных  в учебный план. 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Формой</w:t>
      </w:r>
      <w:r w:rsidRPr="00F302F6">
        <w:rPr>
          <w:rFonts w:ascii="Times New Roman" w:hAnsi="Times New Roman" w:cs="Times New Roman"/>
          <w:sz w:val="28"/>
          <w:szCs w:val="28"/>
        </w:rPr>
        <w:t xml:space="preserve"> промежуточной аттестации </w:t>
      </w:r>
      <w:r>
        <w:rPr>
          <w:rFonts w:ascii="Times New Roman" w:hAnsi="Times New Roman" w:cs="Times New Roman"/>
          <w:sz w:val="28"/>
          <w:szCs w:val="28"/>
        </w:rPr>
        <w:t>по предметам, курсам (модулям) является годовая отметка, которая выводится как среднее арифметическое пяти отметок (4-х четвертных и 1-ой за итоговую контрольную работу).</w:t>
      </w:r>
    </w:p>
    <w:p w:rsidR="002F7ABD" w:rsidRPr="00F302F6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Формой</w:t>
      </w:r>
      <w:r w:rsidRPr="00F302F6">
        <w:rPr>
          <w:rFonts w:ascii="Times New Roman" w:hAnsi="Times New Roman" w:cs="Times New Roman"/>
          <w:sz w:val="28"/>
          <w:szCs w:val="28"/>
        </w:rPr>
        <w:t xml:space="preserve"> промежуточной аттестации по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зачет.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3.5.  Качественная оценка уровня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действий осуществляется на основе анализа материалов, обобщается и  хранится в 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3.6.   Сроки проведения промежуточной аттестации учащихся фиксируются в календарном учебном графике.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Материалы  для  проведения  промежуточной  аттестации  учащихся разрабатываются, проходят экспертизу, утверждаются.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Все  учащиеся  принимают  участие  в  промежуточной  аттестации  по  всем предметам,  курсам  (модулям)  учебного  плана.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 Расписание промежуточной аттестации учащихся, с посещением администрации, утверждается  директором  школы  и  доводится  до  сведения учащихся  не  позднее,  чем  за  две  недели  до  начала  промежуточной аттестации.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Успешность  освоения  учащимися  1-х  классов  части  основной общеобразовательной  программы  по  учебным  предметам,  курсам (модулям)  характеризуется  качественной  оценкой,  фиксирование  которой </w:t>
      </w:r>
      <w:r w:rsidRPr="00C958B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 педагогом  в  </w:t>
      </w:r>
      <w:proofErr w:type="gramStart"/>
      <w:r w:rsidRPr="00C958BB">
        <w:rPr>
          <w:rFonts w:ascii="Times New Roman" w:hAnsi="Times New Roman" w:cs="Times New Roman"/>
          <w:sz w:val="28"/>
          <w:szCs w:val="28"/>
        </w:rPr>
        <w:t>документе,  определяемом  школой    и  хранится</w:t>
      </w:r>
      <w:proofErr w:type="gramEnd"/>
      <w:r w:rsidRPr="00C958B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учащегося.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C958BB">
        <w:rPr>
          <w:rFonts w:ascii="Times New Roman" w:hAnsi="Times New Roman" w:cs="Times New Roman"/>
          <w:sz w:val="28"/>
          <w:szCs w:val="28"/>
        </w:rPr>
        <w:t>.  Учащимся  2-9  классов  отметка  за  достижение  определенного  уровня предметных  результатов  освоения  основных  общеобразовательных программ  или  их  части  по  всем  предметам,  курсам  (модулям)  учебного плана  за  промежуточную  аттестацию  по  итогам  учебног</w:t>
      </w:r>
      <w:r>
        <w:rPr>
          <w:rFonts w:ascii="Times New Roman" w:hAnsi="Times New Roman" w:cs="Times New Roman"/>
          <w:sz w:val="28"/>
          <w:szCs w:val="28"/>
        </w:rPr>
        <w:t>о  периода (</w:t>
      </w:r>
      <w:r w:rsidRPr="00C958B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а) выставляется в журнал по 4-х</w:t>
      </w:r>
      <w:r w:rsidRPr="00C958BB">
        <w:rPr>
          <w:rFonts w:ascii="Times New Roman" w:hAnsi="Times New Roman" w:cs="Times New Roman"/>
          <w:sz w:val="28"/>
          <w:szCs w:val="28"/>
        </w:rPr>
        <w:t xml:space="preserve"> бальной системе оценивания.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C958BB">
        <w:rPr>
          <w:rFonts w:ascii="Times New Roman" w:hAnsi="Times New Roman" w:cs="Times New Roman"/>
          <w:sz w:val="28"/>
          <w:szCs w:val="28"/>
        </w:rPr>
        <w:t>.  Отмет</w:t>
      </w:r>
      <w:r>
        <w:rPr>
          <w:rFonts w:ascii="Times New Roman" w:hAnsi="Times New Roman" w:cs="Times New Roman"/>
          <w:sz w:val="28"/>
          <w:szCs w:val="28"/>
        </w:rPr>
        <w:t>ки,  полученные  учащимися  2-9</w:t>
      </w:r>
      <w:r w:rsidRPr="00C958BB">
        <w:rPr>
          <w:rFonts w:ascii="Times New Roman" w:hAnsi="Times New Roman" w:cs="Times New Roman"/>
          <w:sz w:val="28"/>
          <w:szCs w:val="28"/>
        </w:rPr>
        <w:t xml:space="preserve">  классов  на  промежуточной аттестации,  </w:t>
      </w:r>
      <w:r>
        <w:rPr>
          <w:rFonts w:ascii="Times New Roman" w:hAnsi="Times New Roman" w:cs="Times New Roman"/>
          <w:sz w:val="28"/>
          <w:szCs w:val="28"/>
        </w:rPr>
        <w:t>выставляются в классные журналы и дневники учащихся.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Годовая отметка по каждому учебному предмету, курсу (модулю) учебного </w:t>
      </w:r>
      <w:r>
        <w:rPr>
          <w:rFonts w:ascii="Times New Roman" w:hAnsi="Times New Roman" w:cs="Times New Roman"/>
          <w:sz w:val="28"/>
          <w:szCs w:val="28"/>
        </w:rPr>
        <w:t>плана  выставляется  учащимся как среднее арифметическое четвертных отметок с учетом фактического уровня знаний обучающихся, подтвержденного текущим контролем и промежуточной (переводной) аттестации (во 2-4 классах).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Оценка  достижения 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 и  личностных  результатов осуществляется  с  использованием  качественной  системы  оценивания  на основе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Учащиеся,  освоившие  в  полном  объеме  соответствующую образовательную  программу  учебного  года,  успешно  прошедшие промежуточную  аттестацию,  на  основании  решения  педагогического совета переводятся в следующий класс.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</w:t>
      </w:r>
      <w:r w:rsidRPr="00C958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Неудовлетворительные результаты  промежуточной  аттестации  по  одному или  нескольким  учебным  предметам,  курсам,  (модулям)  основной общеобразовательной  программы  или 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 промежуточной аттестации  при  отсутствии  уважительных  причин  признаются академической задолженностью.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Pr="00C958BB">
        <w:rPr>
          <w:rFonts w:ascii="Times New Roman" w:hAnsi="Times New Roman" w:cs="Times New Roman"/>
          <w:sz w:val="28"/>
          <w:szCs w:val="28"/>
        </w:rPr>
        <w:t>.  Учащиеся,  имеющие  академическую  задолженность,  обязаны ликвидировать  ее,  и  имеют  право  пройти  промежуточную  аттестацию  не более двух ра</w:t>
      </w:r>
      <w:r>
        <w:rPr>
          <w:rFonts w:ascii="Times New Roman" w:hAnsi="Times New Roman" w:cs="Times New Roman"/>
          <w:sz w:val="28"/>
          <w:szCs w:val="28"/>
        </w:rPr>
        <w:t>з в сроки, установленные школой в пределах одного года с момента ее образования.</w:t>
      </w: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Школа, родители (законные представители) учащегося, обеспечивающие получение  им  общего  образования,  создают  условия  для  ликвидации академической задолженности.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Сроки  ликвидации  академической  задолженности  определяются педагогическим советом, утверждаются директором школы и доводятся до  сведения  учащегося  и  его  родителей  (законных  представителей)  не позднее,  чем  через  3  дня    после  ознакомления  с  результатами промежуточной аттестации.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Письменное  уведомление  о  сроках  ликвидации  академической задолженности  своевременно  направляется  родителям  (законным представителям)  учащегося.  При  этом  ответственность  за  выполнение сроков  ликвидации  академической  задолженности  несут  родители </w:t>
      </w:r>
      <w:r w:rsidRPr="00C958BB">
        <w:rPr>
          <w:rFonts w:ascii="Times New Roman" w:hAnsi="Times New Roman" w:cs="Times New Roman"/>
          <w:sz w:val="28"/>
          <w:szCs w:val="28"/>
        </w:rPr>
        <w:lastRenderedPageBreak/>
        <w:t xml:space="preserve">(законные  представители)  учащегося.  Копия  уведомления  с  подписью родителей (законных представителей) хранится в личном деле учащегося. (Приложение 2)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Материалы  промежуточной  аттестации  по  ликвидации  академической задолженности  разрабатываются,  проходят  экспертизу,  утверждаются  и хранятся в течение 1 года.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Промежуточная  аттестация  учащихся,  имеющих  академическую задолженность, в первый раз осуществляется педагогом.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Для  проведения  промежуточной  аттестации  учащихся,  имеющих академическую  задолженность,  во  второй  раз  создается  аттестационная комиссия.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Pr="00C958BB">
        <w:rPr>
          <w:rFonts w:ascii="Times New Roman" w:hAnsi="Times New Roman" w:cs="Times New Roman"/>
          <w:sz w:val="28"/>
          <w:szCs w:val="28"/>
        </w:rPr>
        <w:t>.  Учащимся,  ликвидировавшим  академическую  задолженность  в установленные сроки, выставляется годовая отметка</w:t>
      </w:r>
      <w:r>
        <w:rPr>
          <w:rFonts w:ascii="Times New Roman" w:hAnsi="Times New Roman" w:cs="Times New Roman"/>
          <w:sz w:val="28"/>
          <w:szCs w:val="28"/>
        </w:rPr>
        <w:t xml:space="preserve"> та, на которую сдал</w:t>
      </w:r>
      <w:r w:rsidRPr="00C958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58BB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они переводятся в следующий класс. 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Учащимся,  не  ликвидировавшим  академическую  задолженность  в  сроки, установленные  школой,  выставляется  неудовлетворительная  годовая отметка.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Учащиеся, имеющие по итогам учебного года академическую задолженность по  одному </w:t>
      </w:r>
      <w:r>
        <w:rPr>
          <w:rFonts w:ascii="Times New Roman" w:hAnsi="Times New Roman" w:cs="Times New Roman"/>
          <w:sz w:val="28"/>
          <w:szCs w:val="28"/>
        </w:rPr>
        <w:t>или нескольким учебным  предметам,  курсам</w:t>
      </w:r>
      <w:r w:rsidRPr="00C958BB">
        <w:rPr>
          <w:rFonts w:ascii="Times New Roman" w:hAnsi="Times New Roman" w:cs="Times New Roman"/>
          <w:sz w:val="28"/>
          <w:szCs w:val="28"/>
        </w:rPr>
        <w:t xml:space="preserve">,  переводятся  в  следующий  класс условно.  Ответственность  за  ликвидацию  учащимися  академической задолженности  в  течение  следующего  учебного  года  возлагается  на  их родителей  (законных  представителей).  Порядок  ликвидации  учащимися академической  задолженности  в  течение  следующего  учебного  года устанавливается локальным актом школы.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Учащиеся,  не  ликвидировавшие  академическую  задолженность  в установленные  сроки,  по  усмотрению  их  родителей  (законных представителей)  оставляются  на  повторный  год  обучения,  переводятся  на </w:t>
      </w:r>
      <w:proofErr w:type="gramStart"/>
      <w:r w:rsidRPr="00C958B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958BB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 комиссии  либо  на обучение по индивидуальным учебным планам.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Учащиеся,  не  освоившие  образовательную  программу  начального  общего, основного общего образования, не допускаются к обучению на следующем уровне общего образования.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Учащиеся,  не  прошедшие  промежуточную  аттестацию  по  уважительным причинам  или  имеющие  академическую  задолженность,  переводятся  в следующий класс условно.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Pr="00C958BB">
        <w:rPr>
          <w:rFonts w:ascii="Times New Roman" w:hAnsi="Times New Roman" w:cs="Times New Roman"/>
          <w:sz w:val="28"/>
          <w:szCs w:val="28"/>
        </w:rPr>
        <w:t xml:space="preserve">.  Учащимся, освоившим часть образовательной программы основного общего и среднего общего образования и (или) отчисленным из школы, выдается справка  об  обучении  или  о  периоде  </w:t>
      </w:r>
      <w:proofErr w:type="gramStart"/>
      <w:r w:rsidRPr="00C958BB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 по  образцу</w:t>
      </w:r>
      <w:proofErr w:type="gramEnd"/>
      <w:r>
        <w:rPr>
          <w:rFonts w:ascii="Times New Roman" w:hAnsi="Times New Roman" w:cs="Times New Roman"/>
          <w:sz w:val="28"/>
          <w:szCs w:val="28"/>
        </w:rPr>
        <w:t>,  установленному Ш</w:t>
      </w:r>
      <w:r w:rsidRPr="00C958BB">
        <w:rPr>
          <w:rFonts w:ascii="Times New Roman" w:hAnsi="Times New Roman" w:cs="Times New Roman"/>
          <w:sz w:val="28"/>
          <w:szCs w:val="28"/>
        </w:rPr>
        <w:t xml:space="preserve">колой </w:t>
      </w:r>
    </w:p>
    <w:p w:rsidR="002F7ABD" w:rsidRPr="00C958BB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(Приложение 3). </w:t>
      </w:r>
    </w:p>
    <w:p w:rsidR="002F7ABD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Результаты  текущего  контроля  успеваемости,  промежуточной  аттестации учащихся  анализируются  и  рассматриваются  на  заседаниях педагогического совета, заседаниях МО, на совещаниях при директоре,  родительских и классных собраниях.</w:t>
      </w:r>
    </w:p>
    <w:p w:rsidR="002F7ABD" w:rsidRPr="00C958BB" w:rsidRDefault="002F7ABD" w:rsidP="002F7AB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Приложение 1</w:t>
      </w:r>
    </w:p>
    <w:p w:rsidR="002F7ABD" w:rsidRPr="00C958BB" w:rsidRDefault="002F7ABD" w:rsidP="002F7A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7ABD" w:rsidRPr="00C958BB" w:rsidRDefault="002F7ABD" w:rsidP="002F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BB">
        <w:rPr>
          <w:rFonts w:ascii="Times New Roman" w:hAnsi="Times New Roman" w:cs="Times New Roman"/>
          <w:b/>
          <w:sz w:val="28"/>
          <w:szCs w:val="28"/>
        </w:rPr>
        <w:t>План ликвидации пробелов в знаниях</w:t>
      </w:r>
    </w:p>
    <w:p w:rsidR="002F7ABD" w:rsidRPr="00C958BB" w:rsidRDefault="002F7ABD" w:rsidP="002F7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учащегося (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____класса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 _________________________________________,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8BB">
        <w:rPr>
          <w:rFonts w:ascii="Times New Roman" w:hAnsi="Times New Roman" w:cs="Times New Roman"/>
          <w:sz w:val="28"/>
          <w:szCs w:val="28"/>
        </w:rPr>
        <w:t>получившего</w:t>
      </w:r>
      <w:proofErr w:type="gramEnd"/>
      <w:r w:rsidRPr="00C958BB">
        <w:rPr>
          <w:rFonts w:ascii="Times New Roman" w:hAnsi="Times New Roman" w:cs="Times New Roman"/>
          <w:sz w:val="28"/>
          <w:szCs w:val="28"/>
        </w:rPr>
        <w:t xml:space="preserve"> (ей) неудовлетворительную отметку по ____________________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по итогам_________________________________________________________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указывается учебный период (при организации текущего контроля успеваемости) или промежуточная аттестация  20_____/20_____ учебного года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Учитель__________________________________________________________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5"/>
        <w:gridCol w:w="1259"/>
        <w:gridCol w:w="1872"/>
        <w:gridCol w:w="1506"/>
        <w:gridCol w:w="1240"/>
        <w:gridCol w:w="2189"/>
      </w:tblGrid>
      <w:tr w:rsidR="002F7ABD" w:rsidRPr="00C958BB" w:rsidTr="00B23A35">
        <w:tc>
          <w:tcPr>
            <w:tcW w:w="1588" w:type="dxa"/>
            <w:vMerge w:val="restart"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78" w:type="dxa"/>
            <w:vMerge w:val="restart"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324" w:type="dxa"/>
            <w:gridSpan w:val="2"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</w:t>
            </w:r>
          </w:p>
        </w:tc>
        <w:tc>
          <w:tcPr>
            <w:tcW w:w="1540" w:type="dxa"/>
            <w:vMerge w:val="restart"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1541" w:type="dxa"/>
            <w:vMerge w:val="restart"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2F7ABD" w:rsidRPr="00C958BB" w:rsidTr="00B23A35">
        <w:tc>
          <w:tcPr>
            <w:tcW w:w="1588" w:type="dxa"/>
            <w:vMerge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</w:tc>
        <w:tc>
          <w:tcPr>
            <w:tcW w:w="1587" w:type="dxa"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40" w:type="dxa"/>
            <w:vMerge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Merge/>
          </w:tcPr>
          <w:p w:rsidR="002F7ABD" w:rsidRPr="00C958BB" w:rsidRDefault="002F7ABD" w:rsidP="00B23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1588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1588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1588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:rsidR="002F7ABD" w:rsidRPr="00C958BB" w:rsidRDefault="002F7ABD" w:rsidP="00B23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учителя_______________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/____________________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Дата____________________ </w:t>
      </w:r>
      <w:r w:rsidRPr="00C958BB">
        <w:rPr>
          <w:rFonts w:ascii="Times New Roman" w:hAnsi="Times New Roman" w:cs="Times New Roman"/>
          <w:sz w:val="28"/>
          <w:szCs w:val="28"/>
        </w:rPr>
        <w:cr/>
      </w:r>
    </w:p>
    <w:p w:rsidR="002F7ABD" w:rsidRPr="00C958BB" w:rsidRDefault="002F7ABD" w:rsidP="002F7ABD">
      <w:pPr>
        <w:jc w:val="right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F7ABD" w:rsidRPr="00C958BB" w:rsidRDefault="002F7ABD" w:rsidP="002F7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B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Администрация МБОУ ООШ с. 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 уведомляет Вас, что Ваш сын (дочь)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ученик (</w:t>
      </w:r>
      <w:proofErr w:type="spellStart"/>
      <w:r w:rsidRPr="00C958B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C958BB">
        <w:rPr>
          <w:rFonts w:ascii="Times New Roman" w:hAnsi="Times New Roman" w:cs="Times New Roman"/>
          <w:sz w:val="28"/>
          <w:szCs w:val="28"/>
        </w:rPr>
        <w:t xml:space="preserve">)_____ класса имеет неудовлетворительную отметку по итогам 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(указывается учебный период)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по________________________________________________________________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(указывается учебный предмет или предметы)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Сроки и формы осуществления педагогом текущего контроля указаны в плане ликвидации пробелов в знаниях.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Трифонова С.В.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Классный руководитель ______________________________________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     ФИО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Учитель________________________________________________________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(подпись)                                ФИО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Ознакомлены___________________________________________________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                        ФИО </w:t>
      </w:r>
    </w:p>
    <w:p w:rsidR="002F7ABD" w:rsidRPr="00C958BB" w:rsidRDefault="002F7ABD" w:rsidP="002F7ABD">
      <w:pPr>
        <w:jc w:val="right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 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BD" w:rsidRPr="006A6B3F" w:rsidRDefault="002F7ABD" w:rsidP="002F7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B3F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2F7ABD" w:rsidRPr="006A6B3F" w:rsidRDefault="002F7ABD" w:rsidP="002F7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B3F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школа с. </w:t>
      </w:r>
      <w:proofErr w:type="spellStart"/>
      <w:r w:rsidRPr="006A6B3F">
        <w:rPr>
          <w:rFonts w:ascii="Times New Roman" w:hAnsi="Times New Roman" w:cs="Times New Roman"/>
          <w:sz w:val="28"/>
          <w:szCs w:val="28"/>
        </w:rPr>
        <w:t>Урусово</w:t>
      </w:r>
      <w:proofErr w:type="spellEnd"/>
    </w:p>
    <w:p w:rsidR="002F7ABD" w:rsidRPr="006A6B3F" w:rsidRDefault="002F7ABD" w:rsidP="002F7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6B3F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6A6B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ABD" w:rsidRPr="006A6B3F" w:rsidRDefault="002F7ABD" w:rsidP="002F7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6B3F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2F7ABD" w:rsidRPr="00C958BB" w:rsidRDefault="002F7ABD" w:rsidP="002F7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BD" w:rsidRPr="00C958BB" w:rsidRDefault="002F7ABD" w:rsidP="002F7AB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F7ABD" w:rsidRPr="00C958BB" w:rsidRDefault="002F7ABD" w:rsidP="002F7ABD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BB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F7ABD" w:rsidRPr="00C958BB" w:rsidRDefault="002F7ABD" w:rsidP="002F7ABD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8BB">
        <w:rPr>
          <w:rFonts w:ascii="Times New Roman" w:hAnsi="Times New Roman" w:cs="Times New Roman"/>
          <w:b/>
          <w:sz w:val="28"/>
          <w:szCs w:val="28"/>
        </w:rPr>
        <w:t xml:space="preserve">об обучении в образовательном учреждении, </w:t>
      </w:r>
      <w:r w:rsidRPr="00C958BB">
        <w:rPr>
          <w:rFonts w:ascii="Times New Roman" w:hAnsi="Times New Roman" w:cs="Times New Roman"/>
          <w:b/>
          <w:bCs/>
          <w:sz w:val="28"/>
          <w:szCs w:val="28"/>
        </w:rPr>
        <w:t xml:space="preserve">реализующем основные общеобразовательные программы основного общего образования </w:t>
      </w:r>
    </w:p>
    <w:p w:rsidR="002F7ABD" w:rsidRPr="00C958BB" w:rsidRDefault="002F7ABD" w:rsidP="002F7AB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F7ABD" w:rsidRPr="00C958BB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58BB">
        <w:rPr>
          <w:rFonts w:ascii="Times New Roman" w:hAnsi="Times New Roman" w:cs="Times New Roman"/>
          <w:sz w:val="28"/>
          <w:szCs w:val="28"/>
        </w:rPr>
        <w:t>Данная справка выдана ________________________________________</w:t>
      </w:r>
    </w:p>
    <w:p w:rsidR="002F7ABD" w:rsidRPr="00C958BB" w:rsidRDefault="002F7ABD" w:rsidP="002F7AB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   (фамилия, имя, отчество – при наличии)</w:t>
      </w:r>
    </w:p>
    <w:p w:rsidR="002F7ABD" w:rsidRPr="00C958BB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дата рождения «   »                         </w:t>
      </w:r>
      <w:proofErr w:type="gramStart"/>
      <w:r w:rsidRPr="00C958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58BB">
        <w:rPr>
          <w:rFonts w:ascii="Times New Roman" w:hAnsi="Times New Roman" w:cs="Times New Roman"/>
          <w:sz w:val="28"/>
          <w:szCs w:val="28"/>
        </w:rPr>
        <w:t>. в том, что он (а) обучался (обучалась)</w:t>
      </w:r>
    </w:p>
    <w:p w:rsidR="002F7ABD" w:rsidRPr="00C958BB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ABD" w:rsidRPr="00C958BB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C958BB">
        <w:rPr>
          <w:rFonts w:ascii="Times New Roman" w:hAnsi="Times New Roman" w:cs="Times New Roman"/>
          <w:b/>
          <w:sz w:val="28"/>
          <w:szCs w:val="28"/>
          <w:u w:val="single"/>
        </w:rPr>
        <w:t xml:space="preserve">униципальном бюджетном общеобразовательном учреждении основной общеобразовательной школе с. </w:t>
      </w:r>
      <w:proofErr w:type="spellStart"/>
      <w:r w:rsidRPr="00C958BB">
        <w:rPr>
          <w:rFonts w:ascii="Times New Roman" w:hAnsi="Times New Roman" w:cs="Times New Roman"/>
          <w:b/>
          <w:sz w:val="28"/>
          <w:szCs w:val="28"/>
          <w:u w:val="single"/>
        </w:rPr>
        <w:t>Урусово</w:t>
      </w:r>
      <w:proofErr w:type="spellEnd"/>
      <w:r w:rsidRPr="00C95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958BB">
        <w:rPr>
          <w:rFonts w:ascii="Times New Roman" w:hAnsi="Times New Roman" w:cs="Times New Roman"/>
          <w:b/>
          <w:sz w:val="28"/>
          <w:szCs w:val="28"/>
          <w:u w:val="single"/>
        </w:rPr>
        <w:t>Чаплыгинского</w:t>
      </w:r>
      <w:proofErr w:type="spellEnd"/>
      <w:r w:rsidRPr="00C95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Липецкой области Российской Федерации</w:t>
      </w:r>
    </w:p>
    <w:p w:rsidR="002F7ABD" w:rsidRPr="00C958BB" w:rsidRDefault="002F7ABD" w:rsidP="002F7AB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58BB">
        <w:rPr>
          <w:rFonts w:ascii="Times New Roman" w:hAnsi="Times New Roman" w:cs="Times New Roman"/>
          <w:sz w:val="28"/>
          <w:szCs w:val="28"/>
        </w:rPr>
        <w:t>(полное наименование образовательного учреждения</w:t>
      </w:r>
      <w:proofErr w:type="gramEnd"/>
    </w:p>
    <w:p w:rsidR="002F7ABD" w:rsidRPr="00C958BB" w:rsidRDefault="002F7ABD" w:rsidP="002F7ABD">
      <w:pPr>
        <w:pStyle w:val="a3"/>
        <w:rPr>
          <w:rFonts w:ascii="Times New Roman" w:hAnsi="Times New Roman" w:cs="Times New Roman"/>
        </w:rPr>
      </w:pPr>
      <w:r w:rsidRPr="00C958BB">
        <w:rPr>
          <w:rFonts w:ascii="Times New Roman" w:hAnsi="Times New Roman" w:cs="Times New Roman"/>
          <w:sz w:val="28"/>
          <w:szCs w:val="28"/>
          <w:u w:val="single"/>
        </w:rPr>
        <w:t xml:space="preserve">РФ, 399920, Липецкая область, </w:t>
      </w:r>
      <w:proofErr w:type="spellStart"/>
      <w:r w:rsidRPr="00C958BB">
        <w:rPr>
          <w:rFonts w:ascii="Times New Roman" w:hAnsi="Times New Roman" w:cs="Times New Roman"/>
          <w:sz w:val="28"/>
          <w:szCs w:val="28"/>
          <w:u w:val="single"/>
        </w:rPr>
        <w:t>Чаплыгинский</w:t>
      </w:r>
      <w:proofErr w:type="spellEnd"/>
      <w:r w:rsidRPr="00C958BB">
        <w:rPr>
          <w:rFonts w:ascii="Times New Roman" w:hAnsi="Times New Roman" w:cs="Times New Roman"/>
          <w:sz w:val="28"/>
          <w:szCs w:val="28"/>
          <w:u w:val="single"/>
        </w:rPr>
        <w:t xml:space="preserve"> район, село </w:t>
      </w:r>
      <w:proofErr w:type="spellStart"/>
      <w:r w:rsidRPr="00C958BB">
        <w:rPr>
          <w:rFonts w:ascii="Times New Roman" w:hAnsi="Times New Roman" w:cs="Times New Roman"/>
          <w:sz w:val="28"/>
          <w:szCs w:val="28"/>
          <w:u w:val="single"/>
        </w:rPr>
        <w:t>Урусово</w:t>
      </w:r>
      <w:proofErr w:type="spellEnd"/>
      <w:r w:rsidRPr="00C958BB">
        <w:rPr>
          <w:rFonts w:ascii="Times New Roman" w:hAnsi="Times New Roman" w:cs="Times New Roman"/>
          <w:sz w:val="28"/>
          <w:szCs w:val="28"/>
          <w:u w:val="single"/>
        </w:rPr>
        <w:t>, улица Центральная, дом 25</w:t>
      </w:r>
      <w:r w:rsidRPr="00C958BB">
        <w:rPr>
          <w:rFonts w:ascii="Times New Roman" w:hAnsi="Times New Roman" w:cs="Times New Roman"/>
          <w:sz w:val="28"/>
          <w:szCs w:val="28"/>
        </w:rPr>
        <w:t>________________________________________________ _________________________________________________________________</w:t>
      </w:r>
    </w:p>
    <w:p w:rsidR="002F7ABD" w:rsidRPr="00C958BB" w:rsidRDefault="002F7ABD" w:rsidP="002F7ABD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и его местонахождение)</w:t>
      </w:r>
    </w:p>
    <w:p w:rsidR="002F7ABD" w:rsidRPr="00C958BB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7ABD" w:rsidRPr="00C958BB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F7ABD" w:rsidRPr="00C958BB" w:rsidRDefault="002F7ABD" w:rsidP="002F7AB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В </w:t>
      </w:r>
      <w:r w:rsidRPr="00C958BB">
        <w:rPr>
          <w:rFonts w:ascii="Times New Roman" w:hAnsi="Times New Roman" w:cs="Times New Roman"/>
          <w:b/>
          <w:sz w:val="28"/>
          <w:szCs w:val="28"/>
        </w:rPr>
        <w:t>20___-  20____</w:t>
      </w:r>
      <w:r w:rsidRPr="00C958BB">
        <w:rPr>
          <w:rFonts w:ascii="Times New Roman" w:hAnsi="Times New Roman" w:cs="Times New Roman"/>
          <w:sz w:val="28"/>
          <w:szCs w:val="28"/>
        </w:rPr>
        <w:t xml:space="preserve">  учебном году в </w:t>
      </w:r>
      <w:r w:rsidRPr="00C958BB">
        <w:rPr>
          <w:rFonts w:ascii="Times New Roman" w:hAnsi="Times New Roman" w:cs="Times New Roman"/>
          <w:b/>
          <w:sz w:val="28"/>
          <w:szCs w:val="28"/>
        </w:rPr>
        <w:t xml:space="preserve">___ </w:t>
      </w:r>
      <w:r w:rsidRPr="00C958BB">
        <w:rPr>
          <w:rFonts w:ascii="Times New Roman" w:hAnsi="Times New Roman" w:cs="Times New Roman"/>
          <w:sz w:val="28"/>
          <w:szCs w:val="28"/>
        </w:rPr>
        <w:t>классе и  получи</w:t>
      </w:r>
      <w:proofErr w:type="gramStart"/>
      <w:r w:rsidRPr="00C958B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958BB">
        <w:rPr>
          <w:rFonts w:ascii="Times New Roman" w:hAnsi="Times New Roman" w:cs="Times New Roman"/>
          <w:sz w:val="28"/>
          <w:szCs w:val="28"/>
        </w:rPr>
        <w:t>а) по учебным предметам следующие отметки (количество баллов):</w:t>
      </w:r>
    </w:p>
    <w:p w:rsidR="002F7ABD" w:rsidRPr="00C958BB" w:rsidRDefault="002F7ABD" w:rsidP="002F7ABD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F7ABD" w:rsidRPr="00C958BB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4"/>
        <w:gridCol w:w="3309"/>
        <w:gridCol w:w="1668"/>
        <w:gridCol w:w="1437"/>
        <w:gridCol w:w="2493"/>
      </w:tblGrid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Годовая отметка за последний год обучения </w:t>
            </w: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</w:t>
            </w:r>
          </w:p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Отметка, полученная на государственной (итоговой) аттестации) </w:t>
            </w:r>
            <w:proofErr w:type="gramEnd"/>
          </w:p>
        </w:tc>
      </w:tr>
      <w:tr w:rsidR="002F7ABD" w:rsidRPr="00C958BB" w:rsidTr="00B23A35">
        <w:trPr>
          <w:trHeight w:val="343"/>
        </w:trPr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ABD" w:rsidRPr="00C958BB" w:rsidTr="00B23A35">
        <w:tc>
          <w:tcPr>
            <w:tcW w:w="664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09" w:type="dxa"/>
          </w:tcPr>
          <w:p w:rsidR="002F7ABD" w:rsidRPr="00C958BB" w:rsidRDefault="002F7ABD" w:rsidP="00B23A3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58B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68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shd w:val="clear" w:color="auto" w:fill="auto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:rsidR="002F7ABD" w:rsidRPr="00C958BB" w:rsidRDefault="002F7ABD" w:rsidP="00B23A3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ABD" w:rsidRPr="00C958BB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7ABD" w:rsidRPr="006A6B3F" w:rsidRDefault="002F7ABD" w:rsidP="002F7AB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6B3F">
        <w:rPr>
          <w:rFonts w:ascii="Times New Roman" w:hAnsi="Times New Roman" w:cs="Times New Roman"/>
          <w:sz w:val="28"/>
          <w:szCs w:val="28"/>
        </w:rPr>
        <w:t xml:space="preserve">Руководитель ОУ              _____________                           Трифонова С.В.    </w:t>
      </w:r>
    </w:p>
    <w:p w:rsidR="002F7ABD" w:rsidRPr="006A6B3F" w:rsidRDefault="002F7ABD" w:rsidP="002F7ABD">
      <w:pPr>
        <w:pStyle w:val="a3"/>
        <w:rPr>
          <w:rFonts w:ascii="Times New Roman" w:hAnsi="Times New Roman" w:cs="Times New Roman"/>
          <w:sz w:val="20"/>
          <w:szCs w:val="20"/>
        </w:rPr>
      </w:pPr>
      <w:r w:rsidRPr="006A6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</w:t>
      </w:r>
      <w:r w:rsidRPr="006A6B3F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6A6B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6A6B3F">
        <w:rPr>
          <w:rFonts w:ascii="Times New Roman" w:hAnsi="Times New Roman" w:cs="Times New Roman"/>
          <w:sz w:val="20"/>
          <w:szCs w:val="20"/>
        </w:rPr>
        <w:t>ФИО)</w:t>
      </w:r>
    </w:p>
    <w:p w:rsidR="002F7ABD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>Дата выдачи «     » _____________20______г.                                        регистрационный №_____________</w:t>
      </w:r>
    </w:p>
    <w:p w:rsidR="009758F7" w:rsidRPr="002F7ABD" w:rsidRDefault="002F7ABD" w:rsidP="002F7ABD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C958BB">
        <w:rPr>
          <w:rFonts w:ascii="Times New Roman" w:hAnsi="Times New Roman" w:cs="Times New Roman"/>
          <w:sz w:val="28"/>
          <w:szCs w:val="28"/>
        </w:rPr>
        <w:t xml:space="preserve"> (</w:t>
      </w:r>
      <w:r w:rsidRPr="00C958BB">
        <w:rPr>
          <w:rFonts w:ascii="Times New Roman" w:hAnsi="Times New Roman" w:cs="Times New Roman"/>
        </w:rPr>
        <w:t>М.П.)</w:t>
      </w:r>
    </w:p>
    <w:sectPr w:rsidR="009758F7" w:rsidRPr="002F7ABD" w:rsidSect="00C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BD"/>
    <w:rsid w:val="002F7ABD"/>
    <w:rsid w:val="006F3C82"/>
    <w:rsid w:val="00760EED"/>
    <w:rsid w:val="0097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BD"/>
    <w:pPr>
      <w:spacing w:after="0" w:line="240" w:lineRule="auto"/>
    </w:pPr>
  </w:style>
  <w:style w:type="paragraph" w:customStyle="1" w:styleId="Default">
    <w:name w:val="Default"/>
    <w:rsid w:val="002F7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aliases w:val="основа"/>
    <w:qFormat/>
    <w:rsid w:val="002F7A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6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2811</Words>
  <Characters>16024</Characters>
  <Application>Microsoft Office Word</Application>
  <DocSecurity>0</DocSecurity>
  <Lines>133</Lines>
  <Paragraphs>37</Paragraphs>
  <ScaleCrop>false</ScaleCrop>
  <Company/>
  <LinksUpToDate>false</LinksUpToDate>
  <CharactersWithSpaces>18798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2019-06-02T10:16:00Z</dcterms:created>
  <dcterms:modified xsi:type="dcterms:W3CDTF">2019-06-02T10:20:00Z</dcterms:modified>
</cp:coreProperties>
</file>